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Максимцев В.А. обратился в суд с заявлением о взыскании судебных издержек с общества в пользу должника в размере 80 817 рублей. Определением Арбитражного суда Свердловской области от 25.03.2020, оставленным без изменения постановлениями Семнадцатого арбитражного апелляционного суда от 02.06.2020 и Арбитражного суда Уральского округа от 30.07.2020, заявление удовлетворено. В кассационной жалобе, поданной в Верховный Суд Российской Федерации, заявитель просит отменить названные судебные акты, обособленный спор направить на новое рассмотрение в Арбитражный суд Свердловской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110 Арбитражного процессуального кодекса Российской Федерации, позицией, изложенной в пункте 18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установив факт оказания услуг по представлению интересов должника и их размер, пришли к выводу об обоснованности заявления о взыскании судебных расходов с общества, как стороны, не в пользу которой принят судебный акт, указав на разумность и соразмерность заявленной ко взысканию суммы объёму и характеру фактически оказанных услуг.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 и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«ВВВ МИКС»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