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Сизинцева Т.А. обратилась в суд с заявлением о включении в реестр требований кредиторов должника её требования в размере 21 059 рублей. Определением Арбитражного суда города Москвы от 22.10.2019, оставленным без изменения постановлениями Девятого арбитражного апелляционного суда от 27.02.2020 и Арбитражного суда Московского округа от 08.06.2020,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 и 17.4 Федерального закона от 24.11.1996 № 132-ФЗ «Об основах туристской деятельности в Российской Федерации», установив, что у должника отсутствовала обязанность по выплате страхового возмещения ввиду того, что событие, положенное в основу настоящих требований Сизинцевой Т.А., страховым случаем не является, пришли к выводу об отсутствии оснований для удовлетворения заявления.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Сизинцевой Татьяне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