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Волгоградской области с иском к индивидуальному предпринимателю ФИО2 о расторжении договора от 25.02.2019 № 25/02-2019 и взыскании 186 742 рублей стоимости ремонтных работ, 211 787 рублей расходов по оплате услуг тягача-эвакуатора, а также 23 652 рублей расходов по оплате юридических услуг. Решением Арбитражного суда Волгоградской области от 17.01.2020 в удовлетворении иска отказано. Определением Двенадцатого арбитражного апелляционного суда от 25.02.2020 апелляционная жалоба возвращена ФИО1 в связи с нарушением порядка ее подачи, установленного частью 2 статьи 257 Арбитражного процессуального кодекса Российской Федерации. Определением Двенадцатого арбитражного апелляционного суда от 25.03.2020 повторная апелляционная жалоба предпринимателя возвращена на основании пункта 3 части 1 статьи 264 АПК РФ в связи с пропуском срока и отсутствием ходатайства о его восстановлении. Определением Двенадцатого арбитражного апелляционного суда от 07.05.2020 апелляционная жалоба предпринимателя возвращена на основании пункта 3 части 1 статьи 264 АПК РФ в связи с отказом в удовлетворении ходатайства о восстановлении пропущенного срока на апелляционное обжалование. Арбитражный суд Поволжского округа постановлением от 03.07.2020 определение суда апелляционной инстанции от 07.05.2020 оставил без изменения. ФИО1 обратился в Судебную коллегию Верховного Суда Российской Федерации с кассационной жалобой на решение суда первой инстанции, определение суда апелляционной инстанции от 07.05.2020 и постановление окружного суда, ссылаясь на существенные нарушения норм права. Поскольку решение Арбитражного суда Волгоградской области от 17.01.2020 не было предметом рассмотрения по существу в суде апелляционной инстанции, кассационная жалоба на решение суда первой инстанции не подлежит рассмотрению как поданная с нарушением правил подсудности, установленных частью 2 статьи 291.1 АПК РФ . Кассационная жалоба на определение суда апелляционной инстанции от 07.05.2020 и постановление окружного суда подана в порядке, предусмотренном статьями 291.1 - 291.3 АПК РФ , и подлежит рассмотрению в порядке кассационного производства в соответствии со статьями 291.1 - 291.15 АПК РФ .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Статьей 259 АПК РФ предусмотрено, что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АПК РФ.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АПК РФ , со дня, когда это лицо узнало или должно было узнать о нарушении его прав и законных интересов обжалуемым судебным актом.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 апелляционная жалоба подана по истечении срока подачи апелляционной жалобы, установленного в АПК РФ, и в восстановлении пропущенного срока на подачу апелляционной жалобы отказано (пункт 3 части 1 статьи 264 АПК РФ ). Судом апелляционной инстанции установлено, что, обратившись с надлежаще оформленной апелляционной жалобой на решение суда первой инстанции, заявитель пропустил установленный частью 1 статьи 259 АПК РФ месячный срок на обжалование. Отказывая в удовлетворении ходатайства о восстановлении пропущенного срока подачи апелляционной жалобы, суд апелляционной инстанции оценил приведенные причины пропуска срока и пришел к выводу о том, что они не являются уважительными, указав при этом, что первоначальная подача апелляционной жалобы с нарушением требований, установленных АПК РФ, не прерывает течение установленного срока на подачу жалобы, а получение судебного акта, которым возвращена апелляционная жалоба, по истечении срока, установленного на апелляционное обжалование решения, не является уважительной причиной пропуска срока на подачу повторной жалобы. Подача повторной жалобы является самостоятельным процессуальным действием, которое должно быть совершено в установленный срок. Нарушение порядка подачи апелляционной жалобы и последующее его устранение не свидетельствует о наличии уважительных причин. Пропуск срока по данной причине не может являться основанием для его восстановления при повторном обращении.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Доводы жалобы выводы судов не опровергают, не подтверждают существенных нарушений норм процессуального права, повлиявших на исход рассмотрения ходатайства,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Гизатуллин Илдар Шавкотович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