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Еврейской автономной области от 27.01.2020, оставленным без изменения постановлением Шестого арбитражного апелляционного суда от 25.03.2020, в удовлетворении заявленного требования отказано. Постановлением Арбитражного суда Дальневосточного округа от 25.06.2020 указанные судебные акты оставлены без изменения. Предприниматель обратилась в Верховный Суд Российской Федерации с кассационной жалобой на состоявшиеся по делу судебные акты,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Как следует из судебных актов, основанием для привлечения к ответственности послужил выявленный административным органом факт заявления в товаросопроводительных документах недостоверных сведений о весе товара и количестве грузовых мест. Частью 3 статьи 16.1 Кодекса Российской Федерации об административных правонарушениях предусмотрена административная ответственность за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Согласно примечанию к данной статье под недействительными документами понимаются, в том числе, документы, содержащие недостоверные сведения. Оценив представленные доказательства, руководствуясь положениями Таможенного кодекса Евразийского экономического союза,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3 статьи 16.1 Кодекса Российской Федерации об административных правонарушениях. Вина предпринимателя установлена. Процедура и срок давности привлечения к ответственности соблюдены. Доводы предпринимателя являлись предметом рассмотрения судов и получили надлежащую правовую оценку применительно к установленным фактическим обстоятельствам совершенного административного правонарушения, а также разъяснениям, изложенным в пункте 29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Доводы жалобы по существу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Биробиджанская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