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с ограниченной ответственностью «Компания Вид» обратился в суд с заявлением о взыскании с Парфёнова О.А., исполнявшего обязанности конкурсного управляющего должником, 1 847 182 рублей убытков. Определением Арбитражного суда Нижегородской области от 01.10.2019, оставленным без изменения постановлениями Первого арбитражного апелляционного суда от 19.11.2019 и Арбитражного суда Волго-Вятского округа от 01.06.2019, заявление удовлетворено.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15 Гражданского кодекса российской Федерации, статей 20.3, 20.4, 126 и 129 Федерального закона от 26.10.2002 № 127-ФЗ «О несостоятельности (банкротстве)», установив наличие причинно-следственной связи между действиями (бездействием) Парфёнова О.А., выразившимися в ненадлежащем исполнении Парфеновым О.А. обязанности по передаче новому конкурсному управляющему должника имущества последнего, и убытками на стороне должника и его кредиторов в указанном размере в виде непоступления в конкурсную массу должника имущества, пришли к выводу об обоснованности заявления.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Парфёнову Олегу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