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30.10.2019, оставленным без изменения постановлением Семнадцатого арбитражного апелляционного суда от 05.02.2020 и постановлением Арбитражного суда Уральского округа от 22.05.2020, иск удовлетворен.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Свердловской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заключение судебной экспертизы, установив факт выполнения предприятием работ на спорную сумму, признав необоснованными мотивы уклонения общества от приемки выполненных работ, руководствуясь статьями 309 , 310 , 702 , 711 , 753 Гражданского кодекса Российской Федерации, разъяснениями, изложенными в информационном письме Президиума Высшего Арбитражного Суда Российской Федерации от 24.01.2000 № 51 «Обзор практики разрешения споров по договору строительного подряда», суды первой и апелляционной инстанций пришли к выводу о наличии оснований для удовлетворения иска,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«Уралэлектромедь»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НАУЧНО-ПРОИЗВОДСТВЕННОЕ ПРЕДПРИЯТИЕ ТЕЛЕКС ЛИНИЯ ТРУДОВЫХ ДИНАСТИЙ (подробнее) Ответчики: АО Уралэлектромедь (подробнее) Иные лица: ООО "Международное агентство строительная экспертиза и оценка "Независимость"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