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10.12.2019, оставленным без изменения постановлениями Семнадцатого арбитражного апелляционного суда от 14.02.2020 и Арбитражного суда Уральского округа от 16.06.2020, в удовлетворении требований, объединенных в одно производство, отказано. 2 В кассационных жалобах заявители ставят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ООО «ВерхнекамПроект» признано победителем электронного аукциона на выполнение работ по оценке технического состояния многоквартирных домов, расположенных на территории Пермского края (второй номер присвоен заявке ООО «Регионтехсервис»). Поскольку представленная ООО «ВерхнекамПроект» банковская гарантия от 12.07.2019 № 82630 не соответствовала действующему законодательству, аукционной документации, проекту договора, как содержащая необоснованное ограничение ответственности гаранта перед бенефициаром (пункт 4 гарантии), фонд (заказчик) направил в адрес ООО «ВерхнекамПроект» уведомление об отказе в принятии банковской гарантии, а также составил акт от 18.07.2019 об уклонении победителя электронного аукциона от заключения договора о проведении капитального ремонта. По результатам рассмотрения жалобы ООО «ВерхнекамПроект» на указанные действия заказчика антимонопольным органом принято решение, в соответствии с которым жалоба общества признана обоснованной, в действиях фонда установлено нарушение подпункта «е» пункта 214 Положения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 утвержденного постановлением Правительства Российской Федерации от 01.07.2016 № 615 (далее - Положение № 615). Выдано предписание об отмене акта от 18.07.2019 об уклонении победителя электронного аукциона от заключения договора, совершении действий, предусмотренных главой IV Положения № 615. 3 Не согласившись с ненормативными актами антимонопольного органа, фонд и ООО «Регионтехсервис» обратились в арбитражный суд с соответствующими заявлениями. Исследовав и оценив представленные в материалы дела доказательства, в том числе условия спорной банковской гарантии, руководствуясь положениями статей 368, 370, 377 Гражданского кодекса Российской Федерации, Жилищного кодекса Российской Федерации, Положением № 615, суды пришли к выводу об отсутствии оснований для удовлетворения заявленных требований. Судебные инстанции исходили из того, что основное обязательство гаранта, которое в рассматриваемом случае состоит в обеспечении исполнения обязательств ООО «ВерхнекамПроект» по договору перед фондом, не зависит от отношений между гарантом и бенефициаром, связанным с возможным неисполнением основного обязательства и ответственностью за его неисполнение. Суды указали, что предусмотренное пунктами 1, 4 ограничение выплат по гарантии суммой, на которую выдана банковская гарантия, распространяется исключительно на обязательства банка (гаранта), при этом ответственность, которая возникнет в связи с просрочкой исполнения обязательств гаранта перед бенефициаром, не ограничена общей суммой, на которую выдана банковская гарантия, а имеет дополнительный характер, направленный на обеспечение удовлетворения основного обязательства. Доводы заявителей, изложенные в кассационных жалобах, являлись предметом рассмотрения судов и получили надлежащую правовую оценку с учетом установленных по делу обстоятельств. Они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некоммерческой организации «Фонд капитального ремонта общего имущества в многоквартирных домах в Пермском крае» и обществу с ограниченной ответственностью «Регионтехсервис»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