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14.11.2019, оставленным без изменения постановлениями Девятого арбитражного апелляционного суда от 11.02.2020 и Арбитражного суда Московского округа от 09.07.2020, требования министерства и встречные требования предприятия удовлетворены. В результате произведенного зачета с предприятия в пользу министерства взыскано 9 068 889 рублей 59 копеек. В кассационной жалобе, поданной в Верховный Суд Российской Федерации, предприятие ставит вопрос об отмене принятых по делу судебных актов в части удовлетворения исковых требований министерства, ссылаясь на существенное нарушение норм права, несоответствие выводов судов фактическим обстоятельствам дела и просит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заявленные исковые требования мотивированы наличием в рамках заключенного государственного контракта от 29.06.2016 № 16/709/СО у предприятия (исполнитель) просрочки в выполнении работ, у министерства (заказчик) в их авансировании. Оценив представленные в материалы дела доказательства, суды, руководствуясь положениями статей 309 , 310 , 330 , 702 , 711 , 716 , 719 Гражданского кодекса Российской Федерации, пришли к выводу о наличии оснований для возложения на сторон гражданско-правовой ответственности в виде выплаты неустойки. Удовлетворяя исковые требования, судебные инстанции исходили из того, что предприятием была допущена просрочка выполнения работ, в свою очередь министерством не исполнены обязательства в части своевременной их оплаты; расчет неустойки проверен и признан верным. Доводы предприятия,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«18 Центральный научно-исследовательский институт» Министерства обороны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обороны Российской Федерации (подробнее) Ответчики: ФГУП "18 Центральный научно-исследовательский институт" Министерства обороны Российской Федерации (подробнее) Судьи дела: Антонова М.К.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