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обратился в суд с заявлением о включении в реестр требований кредиторов должника его требования в размере 1 818 880 рублей как обеспеченных залогом. Определением Арбитражного суда Саратовской области от 19.11.2019, оставленным без изменения постановлениями Двенадцатого арбитражного апелляционного суда от 03.02.2020 и Арбитражного суда Поволжского округа от 27.05.2020, заявление удовлетворено частично, требования ФИО2 в размере 1 798 523 рублей 87 копеек признаны обоснованными и включены в третью очередь реестра требований кредиторов ФИО1, как обеспеченные залогом недвижимого имущества – квартиры общей площадью 49,3 кв.м., кадастровый номер: 64:34:000000:3433, расположенной по адресу: &lt;...&gt;. Отказано в удовлетворении остальной части заявления. В кассационной жалобе, поданной в Верховный Суд Российской Федерации, заявитель просит отменить указанные судебные акты в части удовлетворения заявления, принять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337 и 339 Гражданского кодекса Российской Федерации, статьи 213.26 Федерального закона от 26.10.2002 № 127-ФЗ «О несостоятельности (банкротстве)», установив реальность отношений, послуживших основанием для обращения ФИО2 с заявленными требованиями, а также признав, что общие обязательства должника и его супруги ФИО3 по договору займа перед ФИО2 были обеспечены залогом указанного имущества, пришли к выводу об обоснованности и подтверждённости заявленных требований в части, указав, что завершение процедуры банкротства ФИО3 и освобождение её от обязательств, не влечёт освобождения ФИО1 как созаёмщика и созалогодателя от обязательств перед ФИО2 и прекращения залога.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