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28.10.2019, оставленным без изменения постановлениями Первого арбитражного апелляционного суда от 28.01.2020 и Арбитражного суда Волго-Вятского округа от 25.05.2020, в удовлетворении заявления отказано. В кассационной жалобе банк ставит вопрос об отмене принятых по делу судебных актов, ссылаясь на нарушение судами норм процессуального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оспариваемым решением антимонопольного органа признана ненадлежащей реклама, распространяемая банком в период апрель – май 2019 года на щитовой рекламной конструкции, расположенной по проспекту Никольского в городе Чебоксары (остановка улица Гражданская, 1), в связи с тем, что ее содержание нарушает требования части 7 статьи 5, части 3 статьи 28 Закона о рекламе, банк признан нарушившим часть 7 статьи 5, часть 3 статьи 28 Закона о рекламе, материалы переданы уполномоченному должностному лицу для возбуждения в отношении банка дела об административном правонарушении, предусмотренном частью 1 статьи 14.3 КоАП РФ. Управление пришло к выводу о том, что на спорной рекламе нечитаемым шрифтом изложены существенные условия оказания финансовых услуг, и сообщение такой информации может создавать у потребителей ожидания, не соответствующие реальным свойствам рекламируемого товара (финансовых услуг), то есть ввести их в заблуждение, что характеризует указанную рекламу как ненадлежащую. Отказывая в удовлетворении заявления,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Закона о рекламе, учитывая правовую позицию, изложенную в постановлении Пленума Высшего Арбитражного Суда Российской Федерации от 08.10.2012 № 58 «О некоторых вопросах практики применения арбитражными судами Федерального закона «О рекламе», пришли к выводу о том, что решение антимонопольного органа соответствует закону и не нарушает права и законные интересы заявителя. При этом судебные инстанции исходили из того, что спорная реклама является ненадлежащей, а банк несет ответственность за нарушение законодательства о рекламе. Суды установили, что при формальном присутствии в рекламе необходимой информации, такие обстоятельства как расположение рекламной конструкции, размер шрифта не позволяют потребителям воспринимать все сведения об условиях предоставляемой услуги, и, следовательно, не могут рассматриваться как ее фактическое наличие. Обстоятельства данного спора и представленные доказательства были предметом рассмотрения и оценки судов. Доводы кассационной жалобы являлись предметом рассмотрения судов и получили надлежащую правовую оценку, направлены на переоценку установленных фактических обстоятельств дела и представленных в материалы дела доказательств, не опровергают выводы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«Газпромбанк» (Акционерное общество)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"Газпромбанк" (подробнее) АО Филиал "Газпромбанк" (подробнее) Ответчики: Управление Федеральной антимонопольной службы по Чувашской Республике-Чувашии (подробнее) Иные лица: Арбитражный суд Волго-Вятского округа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