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25.09.2019, оставленным без изменения постановлениями Седьмого арбитражного апелляционного суда от 31.12.2019 и Арбитражного суда Западно-Сибирского округа от 09.06.2020, исковое заявление удовлетворено. В кассационной жалобе, поданной в Верховный Суд Российской Федерации, комитет по финансам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обществом и комитетом ЖКХ заключены договоры о предоставлении субсидий, по условиям которых общество приняло на себя обязательства по оказанию услуг по помывке в общих отделениях бани населению Барнаула, а комитет ЖКХ обязался возместить обществу недополученные доходы за услуги по помывке в общих отделениях бань в пределах бюджетных ассигнований, предусмотренных на данные цели на соответствующий финансовый год, в виде субсидий, поступивших из бюджета города на отдельный лицевой счет комитета ЖКХ. В обоснование заявленных требований общество указало, что комитет ЖКХ не исполнил обязанность по перечислению субсидий в размере установленной разницы между экономически обоснованной себестоимостью и тарифом на услуги по помывке в общих отделениях бань. Удовлетворяя исковое заявление,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78 , 93.8 , 152 Бюджетного кодекса Российской Федерации, статей 309 , 310 Гражданского кодекса Российской Федерации, Порядком предоставления субсидий из бюджета города на возмещение недополученных доходов за услуги общих отделений бань, утвержденным постановлением администрации города Барнаула от 28.08.2013 № 2932, пришли к выводу о наличии оснований для взыскания задолженности в размере 725 999 рублей. Судебные инстанции исходили из наличия у комитета ЖКХ обязанности по возмещению понесенных обществом затрат, образовавшихся в результате разницы между экономически обоснованным и установленным тарифом на оказание услуг по помывке в общих отделениях бань. Доводы кассационной жалобы являлись предметом рассмотрения судов и получили надлежащую правовую оценку,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финансам, налоговой и кредитной политике города Барнаула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"Быт-Сервис". (подробнее) Ответчики: Комитет жилищно-коммунального хозяйства города Барнаула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