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Воронцова Любовь Александровна обратилась в суд с требованием о включении в реестр требований кредиторов должника (далее – реестр) задолженности в размере 1 880 833 рублей. Определением Арбитражного суда города Москвы от 06.12.2019 оставленным без изменения постановлениями Девятого Арбитражного апелляционного суда от 18.03.2020 и Арбитражного суда Московского округа от 30.06.2020, отказано в удовлетворении ходатайства о восстановлении пропущенного срока, требования Воронцовой Л.А. в размере 1 649 040 рублей задолженности и 52 940 рублей 40 копеек процентов за пользование чужими денежными средствами признаны обоснованными и подлежащими удовлетворению за счёт имущества, оставшегося после удовлетворения требований кредиторов, включенных в реестр.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100, 142 и 213.24 Федерального закона от 26.10.2002 № 127-ФЗ «О несостоятельности (банкротстве)», проверив расчёт требований и произведя перерасчёт суммы неустойки, признали часть требований Воронцовой Л.А. обоснованными и подтверждёнными надлежащими доказательствами, придя к выводу о частичном удовлетворении требований последней, но как заявленных за пределами срока, установленного на предъявление требований к должнику.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единственному участнику общества с ограниченной ответственностью «Ланко-1» Коистре-Воронцовой Юлии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