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«Абсолют» обратилось в Верховный Суд Российской Федерации с кассационной жалобой на обжалуемые судебные акты, заявив при этом ходатайство об отсрочке уплаты государственной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В соответствии с пунктом 1 статьи 333.41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Судом установлено, что к ходатайству заявителем не приложены документы, свидетельствующие о том, что его имущественное положение не позволяет ему уплатить государственную пошлину при обращении в суд. При названных обстоятельствах ходатайство о предоставлении отсрочки уплаты государственной пошлины не подлежит удовлетворению.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На основании изложенного, руководствуясь статьями 102 , 184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«Абсолют» о предоставлении отсрочки уплаты государственной пошлины отказать. Кассационную жалобу общества с ограниченной ответственностью «Абсолют» на решение Арбитражного суда Омской области от 23.12.2019 по делу № А46-13069/2019, постановление Восьмого арбитражного апелляционного суда от 16.03.2020 и постановление Арбитражного суда Западно-Сибирского округа от 15.07.2020 по тому же делу возвратить заявителю. Судья Верховного Суда Российской Федерации Н.С. Чучунова Суд: Верховный Суд РФ (подробнее) Истцы: ООО "АВТОГОРОД "ЛЕВОБЕРЕЖНЫЙ" (подробнее) Ответчики: ООО "Абсолют"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