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Смоленской области от 16.03.2020 признаны недействительными взаимосвязанные сделки должника, применены последствия недействительности сделок. Не согласившись с названным судебным актом, ФИО1 обжаловал его в апелляционном порядке. Определением Двадцатого арбитражного апелляционного суда от 28.04.2020, оставленным без изменения постановлением Арбитражного суда Центрального округа от 26.06.2020, апелляционная жалоба возвращена заявителю на основании пункта 3 части 1 статьи 264 Арбитражного процессуального кодекса Российской Федерации в связи с нарушением срока подачи жалобы и отказом в удовлетворении ходатайства о его восстановлении. В кассационной жалобе, поданной в Верховный Суд Российской Федерации, заявитель просит отменить указанные судебные акты.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апелляционную жалобу, апелляционный суд, руководствуясь положениями статей 113 , 115 , 117 , 121 , 259 , 264 Арбитражного процессуального кодекса Российской Федерации, пунктом 34 постановления Пленума Высшего Арбитражного Суда Российской Федерации от 25.12.2013 № 99 «О процессуальных сроках», исходил из пропуска заявителем, извещённым надлежащим образом о рассмотрении настоящего обособленного спора, процессуального срока на её подачу и не представившим доказательства наличия юридически значимых обстоятельств, объективно препятствовавших своевременно реализовать своё право на обжалование судебного акта в установленный законом срок. Проверяя обоснованность возврата жалобы заявителя, окружной суд не установил нарушений норм процессуального права и согласился с указанными выводами.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Администрация муниципального образования "Сычевский район" Смоленской области Отдел ЗАГС (подробнее) ООО "Гефест" (подробнее) ООО Страховая компания "Гелиос" (подробнее) ПАО Банк ВТБ (подробнее) Росреестр по Смоленской области (подробнее) Сычовский РО СП УФССП России по Смоленской области (подробнее) УГИБДД УМВД России по Смоленской области (подробнее) Управление ГИБДД УМВД России по Калининградской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