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17.01.2020, требования удовлетворены частично, оспариваемое решение признано незаконным и отменено в части начисления штрафа в размере 71 000 рублей, в удовлетворении остальной части требований отказано. Постановлением Арбитражного суда Московского округа от 04.06.2020 указанные судебные акты оставлены без изменения. Учреждение просит принятые по делу судебные акты в части отказа в удовлетворении требований отменить, считая их принятыми с существенным нарушением норм материального права и (или) норм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В случае неуплаты или неполной уплаты страхователем финансовых санкций, предусмотренных статьей 17 Закона № 27-ФЗ, по требованию фонда их взыскание производится этим же органом в судебном порядке. Поскольку в рамках рассмотрения дела № А40-245620/2019 решением, вступившим в законную силу, отказано во взыскании с учреждения в судебном порядке сумм штрафа на основании оспариваемого решения фонда, чем в рассматриваемом случае нарушены права страхователя, и какой защите они подлежат, в жалобе не указано.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ОБРАЗОВАТЕЛЬНОЕ ВЫСШЕГО ОБРАЗОВАНИЯ "ИНСТИТУТ МЕЖДУНАРОДНОГО ПРАВА И ЭКОНОМИКИ ИМЕНИ А.С. ГРИБОЕДОВА" (подробнее) Ответчики: ГУ ГЛАВНОЕ УПРАВЛЕНИЕ ПЕНСИОННОГО ФОНДА РОССИЙСКОЙ ФЕДЕРАЦИИ №10 ПО Г.МОСКВЕ И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