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10.12.2019, постановление Девятого арбитражного апелляционного суда от 23.04.2020 и постановление Арбитражного суда Московского округа от 15.07.2020 по делу № А40-44328/2018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