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31.10.2019, оставленным без изменения постановлением Двенадцатого арбитражного 2 апелляционного суда от 22.01.2020, первоначальный иск удовлетворен, в удовлетворении встречного иска отказано. Постановлением Арбитражного суда Поволжского округа от 04.06.2020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Гражданского кодекса Российской Федерации, суды удовлетворили первоначальный иск, признав, что общество (подрядчик) не выполнило работы с надлежащим качеством в установленный договором срок; в удовлетворении встречного иска отказано, поскольку установленный результат работ оплате учреждением (заказчиком) не подлежит. Доводы жалобы были предметом исследования судов и получили исчерпывающую правовую оценку применительно к установленным обстоятельствам и представленным доказательствам,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 3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