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11.10.2019, оставленным без изменения постановлением Девятого арбитражного апелляционного суда от 21.01.2020 и постановлением Арбитражного суда Московского округа от 02.06.2020,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за период с 01.01.2014 по 31.12.2016 и вынесено решение, которым начислено и предложено уплатить налог на имущество за 2015 год в сумме 26 044 011 рублей, соответствующие суммы пени и штрафа. Основанием для начисления налога послужили выводы налогового органа о необоснованном применении налогоплательщиком льготы по налогу на имущество в отношении объектов основных средств - технологических трубопроводов в результате их исключения из состава недвижимого имущества. Не согласившись с решением налогового органа, общество обратилось в арбитражный суд. Отказывая в удовлетворении требования, судебные инстанции, исследовав и оценив представленные в материалы дела доказательства, руководствуясь положениями статей 11, 374, 375, 376, 381 Налогового кодекса Российской Федерации, статей 130, 131 Гражданского кодекса Российской Федерации, пришли к выводу о законности решения инспекции с учетом недоказанности обществом наличия правовых оснований для применения заявленной льготы по налогу на имущество. Суды исходили из того, что спорный объект имущества в силу отраслевых требований к устройству и безопасной эксплуатации технологических трубопроводов, спроектирован и смонтирован на специально возведенном фундаменте (эстакадах), наличие которого обеспечивает его прочную связь с землей. По своей конструкции указанный объект не предназначен для его последующей разборки, перемещения и сборки на новом месте; перемещение объекта без нанесения несоразмерного ущерба его 3 конструктивной целостности и проектному функциональному назначению невозможно. Таким образом, при наличии указанных признаков объект правомерно квалифицирован налоговым органом как недвижимое имущество, которое подлежит обложению налогом на имущество. Доводы, изложенные в кассационной жалобе, не свидетельствуют о нарушении судами норм материального и процессуального права, повлиявших на исход дела, направлены на переоценку установленных судами обстоятельств налогового спора,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«Орскнефтеоргсинтез»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