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Нижегородской области от 24.12.2019 заявленные требования удовлетворены. 2 Постановлением Первого арбитражного апелляционного суда от 10.03.2020 решение суда первой инстанции отменено, в удовлетворении заявленных требований отказано. Постановлением Арбитражного суда Волго-Вятского округа от 18.06.2020 постановление суда апелляционной инстанции оставлено без изменения. Общество в кассационной жалобе просит обжалуемые судебные акты отменить, считая их незаконными и необоснованными.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основанием для привлечения к ответственности послужил выявленный административным органом факт осуществления обществом предпринимательской деятельности по управлению многоквартирными домами с грубым нарушением лицензионных требований, а именно: непрекращение управления многоквартирным домом в течение 3 дней со дня исключения сведений о таком доме из реестра лицензий. Руководствуясь положениями Жилищного кодекса Российской Федерации, Положением о лицензировании предпринимательской деятельности по управлению многоквартирными домами, утвержденным постановлением Правительства Российской Федерации от 28.10.2014 № 1110, Правилами осуществления деятельности по управлению многоквартирными домами, утвержденными постановлением Правительства Российской Федерации от 15.05.2013 № 416, суд апелляционной инстанции поддержал выводы суда первой инстанции о наличии в действиях общества состава правонарушения, ответственность за совершение которого предусмотрена частью 3 статьи 14.1.3 Кодекса Российской Федерации об административных правонарушениях, однако, признав, что срок давности привлечения общества к административной ответственности не пропущен, признал постановление о 3 привлечении к административной ответственности законным и обоснованным. Суд округа согласился с выводами суда апелляционной инстанции. Доводы жалобы были предметом исследования судов и получили исчерпывающую правовую оценку исходя из того, что вменяемое правонарушение выражается в длительном непрекращающемся ненадлежащем выполнении лицензионных требований (продолжение осуществления функций управляющей компании в отношении спорного многоквартирного дома), доказательств прекращения противоправного деяния на момент выявления правонарушения не представлено, не согласиться с которой оснований не имеется. Указанные доводы сводятся к несогласию заявителя с установленными судами фактическими обстоятельствами дела и оценкой доказательств, что в силу статьи 291.6 Арбитражного процессуального кодекса Российской Федерации не может являться основанием для отмены оспариваемых судебных актов в кассационном порядке.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