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17.10.2019, оставленным без изменения постановлением Девятого арбитражного апелляционного суда от 21.01.2020 и постановлением Арбитражного суда Московского округа от 09.06.2020, в удовлетворении заявления отказано. В кассационной жалобе, поданной в Верховный Суд Российской Федерации, общество просит отменить принятые по делу судебные акты, ссылаясь на существенное нарушение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21.05.2019 корпорацией (заказчик) в единой информационной системе в сфере закупок размещено извещение о проведении запроса предложений в электронной форме на поставку транспортных средств для радиоактивных веществ. В соответствии с итоговым протоколом проведения запроса предложений от 03.06.2019 № 0573100002519000432-2 заявка общества признана соответствующей требованиям документации. Заказчиком 10.06.2019 в единой информационной системе размещен проект контракта, в ответ на который обществом 17.06.2019 размещен протокол разногласий. Рассмотрев указанные разногласия, заказчиком 18.06.2019 размещен доработанный проект контракта в единой информационной системе, который подписан обществом 21.06.2019 и к нему приложена банковская гарантия от 20.06.2019 № БГ-304237/2019. 24.06.2019 заказчиком в единой информационной системе размещен протокол о признании общества уклонившимся от заключения контракта ввиду несоответствия представленной банковской гарантии конкурсной документации и непредставления надлежащего обеспечения исполнения контракта. По результатам рассмотрения обращения заказчика ФАС России вынесено решение о включения сведений об обществе в реестр недобросовестных поставщиков. Несогласие с решением антимонопольного органа послужило основанием обращения общества в суд. Оценив представленные в материалы дела доказательства, руководствуясь положениями статей 83.2, 96, 104 Федерального закона от 05.04.2013 № 44-ФЗ «О контрактной системе в сфере закупок товаров, работ, услуг для обеспечения государственных нужд», суды трех инстанций пришли к выводу о том, что оспариваемое решение соответствует положениям 3 действующего законодательства и не нарушает права и законные интересы заявителя. Судебные инстанции указали, что представленная обществом банковская гарантия не соответствовала требованиям закупочной документации, в связи с чем не могла быть принята заказчиком в качестве надлежащего обеспечения исполнения контракта. Из условий спорной банковской гарантии следует о покрытии банковской гарантией обязательства «по возмещению принципалом убытков бенефициара, в том числе при их наличии в случае расторжения контракта в связи с неисполнением или ненадлежащим исполнении принципалом обязательств по контракту». В тоже время, согласно условиям конкурсной документации банковская гарантия должна обеспечивать все обязательства по государственному контракту, в том числе обязательства по возмещению принципалом убытков бенефициара. Суды отметили, что данное обстоятельство ухудшает положение заказчика по сравнению с тем, на что он был вправе рассчитывать исходя из положений документации о проведении запроса предложений.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невозможном участии в иных закупках для обеспечения государственных нужд,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положений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«ИНРУСКОМ»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