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05.12.2019, оставленным без изменения постановлениями Девятого арбитражного апелляционного суда от 26.02.2020 и Арбитражного суда Московского округа от 30.06.2020, в удовлетворении заявленных требований отказано. В кассационной жалобе учреждение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учреждения (заказчик) при проведении электронного аукциона на право заключения государственного контракта на поставку расходных материалов по содержанию оргтехники, антимонопольным органом принято решение. Управлением жалоба общества признана обоснованной, в действиях учреждения выявлены нарушения части 1 статьи 34, части 2 статьи 83.2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выразившиеся в направлении заказчиком проекта государственного контракта в адрес победителя закупки без учета представленных в составе заявки качественных характеристик товаров. В целях устранения выявленных нарушений законодательства об осуществлении закупок выдано предписание. Считая ненормативные акты антимонопольного органа незаконными, учреждение обратилось в арбитражный суд. Отказывая в удовлетворении заявленных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443, 448 Гражданского кодекса Российской Федерации, статьи 2, части 1 статьи 34, части 3 статьи 66, части 4 статьи 67, части 2 статьи 83.2 Закона о контрактной системе, пришли к выводу о законности оспариваемых ненормативных актов. Судебные инстанции исходили из того, что общество имело право предложить к поставке товар, отличный от условий закупочной документации, а учреждение, признавшее его победителем, обязано было указать в контракте товар с учетом качественных характеристик, представленных в составе заявки. Доводы заявителя, изложенные в кассационной жалобе, являлись предметом рассмотрения судов и получили надлежащую правовую оценку с учетом установленных по делу обстоятельств. Доводы, изложенные в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3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бюджетному учреждению города Москвы «Ритуал»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