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04.09.2019 иск удовлетворен. Постановлением Тринадцатого арбитражного апелляционного суда от 27.11.2019 решение суда первой инстанции отменено, в иске отказано. Постановлением Арбитражного суда Северо-Западного округа от 03.06.2020 постановление суда апелляционной инстанции оставлено без изменения. Истец обратился в Верховный Суд Российской Федерации с кассационной жалобой, в которой просит постановления судов апелляционной и кассационной инстанций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Отменяя решение суда первой инстанции и отказывая в иске, суд апелляционной инстанции руководствовался положениями Федерального закона от 29.12.1994 № 79-ФЗ «О государственном материальном резерве»,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и исходил из того, что требование о взыскании пеней заявлено за период до выявления факта нарушения обязательства, что не соответствует требованиям контракта, при этом запасы материальных ценностей в государственном резерве восстановлены. Суд округа согласился с выводами суда апелляционной инстанции. Доводы жалобы были предметом исследования судов и получили исчерпывающую правовую оценку применительно к буквальному толкованию закона и условиям контракта,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Управление Федерального агентства по государственным резервам по Северо-Западному федеральному округу (подробнее) Ответчики: ПАО "Территориальная генерирующая компания №2"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