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23.10.2019, оставленным без изменения постановлением Девятого арбитражного апелляционного суда от 15.01.2020 и постановлением Арбитражного суда Московского округа от 11.06.2020, в удовлетворении заявленных требований отказано. В кассационной жалобе, поданной в Верховный Суд Российской Федерации, корпорация, ссылаясь на существенное нарушение норм права, просит отменить судебные акты и требования удовлетворить.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Кулишова Е.В. обратилась в антимонопольный орган с жалобой на действия корпорации (конкурсный управляющий), выразившиеся в неправомерном заключении договора по результатам проведенных торгов по продаже имущества должника ввиду их отмены организатором конкурентной процедуры. Решением управления жалоба признана обоснованной, в действиях конкурсного управляющего установлено нарушение пункта 8 статьи 110 Федерального закона от 26.10.2002 № 127-ФЗ «О несостоятельности (банкротстве)» (далее – Закон о банкротстве). В целях устранения нарушений выдано предписание. Считая ненормативные акты антимонопольного органа незаконными, корпорация обратилась в арбитражный суд. Оценив представленные в материалы дела доказательства, суды, руководствуясь положениями статьи 18.1 Федерального закона от 26.07.2006 № 135-ФЗ «О защите конкуренции», статьи 110 Закона о банкротстве, пришли к выводу о наличии у управления правовых оснований для вынесения решения и предписания. Судебные инстанции исходили из опубликования корпорацией извещений, содержащих противоречивые сведения, что свидетельствует о ненадлежащем осуществлении возложенных на организатора торгов функций по размещению информации о торгах и может существенно сократить количество лиц, изъявивших желание принять в них участие. Доказательств возникновения технической ошибки и отсутствия объективной возможности соблюдения требований действующего законодательства заявителем не представлено. Доводы, изложенные в кассационной жалобе, в том числе об отсутствии факта отмены торгов, о неверном определении предмета торгов и статуса заявителя жалобы, не опровергают выводы судов, являлись предметом их рассмотрения и получили правовую оценку с учетом установленных обстоятельств дела. 3 Приведенные доводы не подтверждают существенных нарушений норм материального и норм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корпорации «Агентство по страхованию вкладов»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