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 договора уступки права от 07.06.2017 № 07/06/17, заключенного с индивидуальным предпринимателем ФИО2 (далее – предприниматель); применении последствий недействительности сделки. Определением Арбитражного суда Челябинской области от 07.02.2019, оставленным без изменения постановлениями Восемнадцатого арбитражного апелляционного суда от 01.04.2019 и Арбитражного суда Уральского округа от 10.06.2019,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конкурсным управляющим совокупности условий для признания недействительной сделки, совершенной незаинтересованными лицами в процессе обычной хозяйственной деятельности, ввиду отсутствия у неё признаков предпочтения.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«ЮжУралСпецСтрой»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"Альянстрансатом" (подробнее) Ассоциация арбитражных управляющих саморегулируемая организация "Центральное агентство арбитражных управляющих" (подробнее) ЗАО " УРАЛСПЕЦМОНТАЖ " (подробнее) ИП Тарасова В.Г. (подробнее) ИФНС по Кировскому району г.Екатеринбурга (подробнее) к/у Чупраков Иван Николаевич (подробнее) Межрайонная ИНФС России №3 по Челябинской области (подробнее) МУП "Гостиница Черемшан" (подробнее) ООО "Анион-Т" (подробнее) ООО "Белоярский центр генеральных подрядов" (подробнее) ООО "БЦГП" (подробнее) ООО "Протон" (подробнее) ООО "СК "БСУ" (подробнее) ООО "Строительная компания БСУ" (подробнее) ООО "ТрансАвто" (подробнее) ООО "Уралстройэнерго" (подробнее) ООО "Центр Качества" (подробнее) ООО "Южуралспецстрой" (подробнее) Фонд экономического и социального развития (подробнее) ФОНД ЭКОНОМИЧЕСКОГО И СОЦИАЛЬНОГО РАЗВИТИЯ ОЗЕРСКОГО ГОРОДСКОГО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