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28.10.2019, оставленным без изменения постановлением Восьмого арбитражного апелляционного суда от 23.01.2020, в удовлетворении заявленных требований отказано. Постановлением Арбитражного суда Западно-Сибирского округа от 10.06.2020 указанные судебные акты оставлены без изменения. Предприниматель просит состоявшиеся по делу судебные акты отменить, считая их принятыми с существенным нарушением норм материального и процессуального права. Исходя из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выявленные административным органом факты использования предпринимателем автобуса для осуществления регулярных перевозок пассажиров в отсутствие карты маршрута регулярных перевозок.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 и установив обстоятельства определения маршрута и времени движения, порядка посадки в транспортное средство и т.д.,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суды пришли к выводу о наличии в действиях предпринимателя состава правонарушения, ответственность за 3 совершение которого предусмотрена частью 4 статьи 11.33 Кодекса Российской Федерации об административных правонарушениях. Суды признали, что процедура и срок давности привлечения к административной ответственности соблюдены, административное наказание в виде штрафа назначено в пределах санкции нормы. По смыслу части 7 статьи 291.6 и части 3 статьи 291.12 Арбитражного процессуального кодекса Российской Федерации основанием для передачи кассационной жалобы вместе с делом для рассмотрения в судебном заседании Судебной коллегии по экономическим спорам Верховного Суда Российской Федерации являются доводы, содержащиеся в кассационной жалобе. Поскольку доводы жалобы не содержат ссылок на нарушения судами норм материального права, а представляют собой только ссылки на процессуальные нормы, которыми должен руководствоваться суд при рассмотрении дела, не носят конкретный характер, а заявитель не указывает, каким образом допущенные, по его мнению, нарушения норм процессуального права привели или могли привести к принятию неправильного решения при том, что он не ссылается на нарушения норм процессуального права, которые являются безусловными основаниями для отмены судебных актов в силу части 4 статьи 288 Арбитражного процессуального кодекса Российской Федерации, указанные доводы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