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11.10.2019, оставленным без изменения постановлением Девятого арбитражного апелляционного суда от 13.12.2019 и постановлением Арбитражного суда Московского округа от 04.06.2020, с компании в пользу общества взыскано 1 500 000 руб.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иск в части, суды первой и апелляционной инстанций, руководствуясь статьями 307 , 309 , 310 , 329 , 330 , 333 , 401 , 405 , 406 , 716 , 719 , 740 Гражданского кодекса Российской Федерации, разъяснениями, приведенными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установив факт нарушения компанией предусмотренных договором (в редакции дополнительного соглашения) сроков выполнения работ, пришли к выводу о наличии оснований для взыскания с нее неустойки, уменьшив при этом ее размер ввиду несоразмерности последствиям нарушения обязательств, а также с учетом того, что нарушение сроков частично вызвано ненадлежащим исполнением обществом встречных обязательств, в связи с чем компанией были приостановлены работы на объекте.С указанными выводами впоследствии согласился суд округа. Доводы заявителя о нарушениях судом норм процессуального права, выразившихся в отказе в удовлетворении ходатайств о приобщении доказательств и назначении экспертизы, были предметом рассмотрения судов и получили правовую оценку.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«Научно-производственная корпорация «Иркут»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"Научно-производственная корпорация "Иркут" (подробнее) Ответчики: ООО Строительная Компания "Строй Групп" (подробнее) Судьи дела: Чучунова Н.С. (судья) (подробнее) Судебная практика по: Уменьшение неустойки Судебная практика по применению нормы ст. 333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