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28.11.2019, оставленным без изменения постановлением Семнадцатого арбитражного апелляционного суда от 26.02.2020 и постановлением Арбитражного суда Уральского округа от 22.06.2020,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нарушение АО «Атомэнергоремонт», АО «СОГАЗ», Федеральным бюджетным учреждением здравоохранения «Медико-санитарная часть № 32» Федерального медико-биологического агентства России и обществом с ограниченной ответственностью «Доктор Ведерников» антимонопольного законодательства при реализации программ добровольного медицинского страхования сотрудников АО «Атомэнергоремонт». Решением управления в возбуждении дела о нарушении антимонопольного законодательства отказано, что послужило основанием для обращения общества в арбитражный суд. Признавая отказ в возбуждении дела законным, суды трех инстанций, оценив представленные в материалы дела доказательства, руководствуясь положениями статей 4, 10, 11, 44 Федерального закона от 26.07.2006 № 135-ФЗ «О защите конкуренции», статьи 927 Гражданского кодекса Российской Федерации, статьи 3 Закона Российской Федерации от 27.11.1992 № 4015-1 «Об организации страхового дела в Российской Федерации», пришли к выводу об отсутствии в действиях вышеуказанных организаций признаков нарушения антимонопольного законодательства. Суды указали, что определение АО «Атомэнергоремонт» и АО «СОГАЗ» исполнителей программ добровольного медицинского страхования «Регион 1» и «Регион 2» не имеет целью устранение кого-либо из участников рынка, а обусловлено исключительно Единым отраслевым стандартом закупок Госкорпорации «РОСАТОМ» и имеющимися у АО «Атомэнергоремонт» средствами для финансирования соответствующих расходов. Доводы, изложенные в кассационной жалобе, сводятся к повторению позиции общества по спору, не опровергают выводы судов, не подтверждают существенного нарушения норм материального и процессуального права, повлиявших на исход дела, и не являются основанием для пересмотра судебных актов в кассационном порядке. По существу доводы жалобы выражают несогласие с выводами судов и направлены на переоценку установленных фактических обстоятельств по делу, что не входит в полномочия Судебной коллегии по экономическим спорам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«Стоматологическая компания «Дантист-Сервис»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Страховое общество Газовой промышленности (подробнее) ООО СТОМАТОЛОГИЧЕСКАЯ КОМПАНИЯ ДАНТИСТ-СЕРВИС (подробнее) Ответчики: ИП Каменев Алексей Юрьевич (подробнее)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