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ФАС России 21.09.2020 обратилась в Верховный Суд Российской Федерации с кассационной жалобой,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20.07.2020,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антимонопольной службы о восстановлении пропущенного процессуального срока подачи кассационной жалобы удовлетворить,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