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17.10.2019, оставленным без изменения постановлением Третьего арбитражного апелляционного суда от 25.02.2020, требования удовлетворены частично, оспариваемое решение признано недействительным в части доначисления 90 397 рублей налога на прибыль организаций за 2014 год, соответствующих ему 29 013,7 рублей пени и 4 520 рублей штрафа; а также в части предложения уменьшить налог на добавленную стоимость за 3 квартал 2014 года в сумме 125 рублей, в удовлетворении остальной части требований отказано. Постановлением Арбитражного суда Восточно-Сибирского округа от 10.06.2020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обжалуемые судебные акты в части отказа в удовлетворении заявленных требований, считая их принятыми с существенным нарушением норм материального и процессуального права в указанной части.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статей 23 , 246 , 249 , 252 , 264 , 271 , 273 , 346.16 , 346.17 Налогового кодекса Российской Федерации, а также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 в обжалуемой части, признав, что налоговым органом собрано достаточно доказательств, свидетельствующих о том, что в спорный период в целях получения необоснованной налоговой выгоды обществом произведено формальное деление бизнеса, деятельность общества и контрагентов является частью единого процесса, направленного на достижение общего экономического результата. Приведенные в жалобе доводы были предметом рассмотрения судов трех инстанций и получили исчерпывающую правовую оценку применительно к установленным обстоятельствам.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Строительная компания "СтройЛайн" (подробнее) ООО СТРОИТЕЛЬНАЯ КОМПАНИЯ "СТРОЙЛАЙН" (подробнее) Ответчики: МЕЖРАЙОННАЯ ИНСПЕКЦИЯ ФЕДЕРАЛЬНОЙ НАЛОГОВОЙ СЛУЖБЫ №2 ПО РЕСПУБЛИКЕ ХАКАСИЯ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