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должника имущества жилой площади, расположенной по адресу &lt;...&gt;, лит. А, кв.2. Определением Арбитражного суда города Санкт-Петербурга и Ленинградской области от 19.12.2019, оставленным без изменения постановлениями Тринадцатого арбитражного апелляционного суда от 31.03.2020 и Арбитражного суда Северо-Западного округа от 29.06.2020,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Исключая из конкурсной массы одно из жилых помещений, суд первой инстанции руководствовался статьёй 446 Гражданского процессуального кодекса Российской Федерации, статьёй 213.25 Федерального закона от 26.10.2002 № 127-ФЗ «О несостоятельности (банкротстве), абзацев вторым пункта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массе в делах о банкротстве граждан», исходил из того, что именно оно является единственным пригодным для постоянного проживания должника и членов его семьи, обладает исполнительским иммунитетом, не является чрезмерным и в большей степени способствует реализации конституционного права на жилье. С указанными выводами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Ссылка заявителя на определения Верховного суда Российской Федерации от 27.12.2019 № 305-ЭС18-3009 (4,5) и от 24.03.2020 № 309-ЭС201661 несостоятельна, поскольку они приняты по делам с иными фактическими обстоятельствами.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Комитет по делам записи актов гражданского состояния (подробнее) Иные лица: а/у Комаров М.Ю. (подробнее) ГУ Отделение Пенсионного фонда РФ по СПБ и ЛО (подробнее) ООО "Жилкомсервис №1 Центрального района" (подробнее) ООО "Энергосервис" (подробнее) Тринадцатый арбитражный апелляционный суд (подробнее) Управление ГИБДД УГ МВД по СПб и ЛО (подробнее) УФНС РОССИИ ПО СПБ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