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15.07.2019, оставленным без изменения постановлением Девятого арбитражного апелляционного суда от 17.10.2019, в удовлетворении заявленных требований отказано. Постановлением Арбитражного суда Московского округа от 09.06.2020 указанные судебные акты оставлены без изменения. В кассационной жалобе, поступившей в Верховный Суд Российской Федерации, общество просит отменить состоявшиеся по делу судебные акты, ссылаясь на допущенные, по его мнению,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доказательств, руководствуясь положениями статей 171 , 171.1 , 172 Налогового кодекса Российской Федерации, суды согласились с выводами налогового органа о необоснованном применении обществом налоговых вычетов по налогу на добавленную стоимость по операциям строительства жилья, используемого для оказания услуг по предоставлению в пользование жилых помещений, в связи с чем отказали в удовлетворении заявленных требований, исходя из характера дальнейшего использования приобретенных товаров (работ, услуг). Доводы жалобы были предметом рассмотрения судов и получили исчерпывающую правовую оценку исходя из представленных доказательств и квалификации спорных операций,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ОАО " РЖД" (подробнее) Ответчики: МИФНС России №6 по крупнейшим налогоплательщикам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