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«Культурная служба» обратилось в Арбитражный суд города Москвы с иском о взыскании с общества с ограниченной ответственностью «Регионконцерт» 2 567 179 рублей 40 копеек предварительной оплаты по агентскому договору от 18.06.2015 № А-2048-78. Решением Арбитражного суда города Москвы от 16.09.2019 иск удовлетворен. Постановлением Девятого арбитражного апелляционного суда от 17.03.2020 решение суда первой инстанции оставлено без изменения. Арбитражный суд Московского округа постановлением от 15.07.2020 указанные судебные акты оставил без изменения. Общество с ограниченной ответственностью «Регионконцерт»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руководствуясь положениями статей 309 , 310 , 779 Гражданского кодекса Российской Федерации, суды пришли к выводу о ненадлежащем исполнении ответчиком договорных обязательств по возврату перечисленного авансового платежа и обоснованности заявленного требования.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Доводы жалобы о ненадлежащем извещении ответчика о времени и месте рассмотрения дела приводились в суде кассационной инстанции, были рассмотрены судом и отклонены с учетом положений статьи 123 Арбитражного процессуального кодекса Российской Федерации.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«Регионконцерт»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"КУЛЬТУРНАЯ СЛУЖБА" (подробнее) Ответчики: ООО "РЕГИОНКОНЦЕРТ"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