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30.08.2019, оставленным без изменения постановлением Восемнадцатого арбитражного апелляционного суда от 10.12.2019 и постановлением Арбитражного суда Уральского округа от 21.05.2020, с общества в пользу компании взыскано 3 268 135 руб. 32 коп. долга, 237 006 руб. 97 коп. процентов за пользование чужими денежными средствами;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несоответствие их выводов фактическим обстоятельствам дела и представленным доказательствам, просит отменить указанные судебные акты и направить дело на новое рассмотрение в Арбитражный суд Республики Башкортостан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Принимая обжалуемые судебные акты и частично удовлетворяя исковые требования, суды руководствовались статьями 314 , 395 , 421 , 431 , 486 , 506 , 516 , 702 , 740 , 1105 , 1106 Гражданского кодекса Российской Федерации и исходили из установленных обстоятельств, подтверждающих факт поставки истцом материалов ответчику на спорную сумму, вовлеченных последним в производство работ. Выводы судов подробно мотивированы, основаны на оценке представленных в материалы дела доказательств и установленных на их основании фактических обстоятельств. Доводы кассационной жалобы не свидетельствуют о существенном нарушении судами норм материального и процессуального права, повлиявших на исход дела, по существу направлены на переоценку установленных фактических обстоятельств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«БашСтройМонтаж»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ПАО "АКЦИОНЕРНАЯ КОМПАНИЯ ВОСТОКНЕФТЕЗАВОДМОНТАЖ" (подробнее) Ответчики: ООО "БашСтройМонтаж"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