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02.12.2019, оставленным без изменения постановлением Седьмого арбитражного апелляционного суда от 14.02.2020 и постановлением Арбитражного суда 2 Западно-Сибирского округа от 22.05.2020, первоначальные исковые требования удовлетворены, в удовлетворении встречных исковых требований отказано. В кассационной жалобе, поданной в Верховный Суд Российской Федерации, администрация,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Кемеровской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 факт выполнения обществом работ по договорам и принятия их результата администрацией без возражений и замечаний. Учитывая отсутствие доказательств оплаты спорных работ, не установив оснований для признания договоров недействительными, в том числе по мотиву пропуска срока исковой давности, суды, руководствуясь статьями 166, 179, 181, 199, 309, 310, 395, 711 Гражданского кодекса Российской Федерации, разъяснениями, изложенными в информационном письме Президиума Высшего Арбитражного Суда Российской Федерации от 10.12.2013 № 162 «обзор практики применения арбитражными судами статей 178 и 179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обязательства», признали обоснованными первоначальные исковые требования и отказали в удовлетворении встречных исковых требований. Доводы заявителя о нарушениях судами апелляционной инстанции и округа норм процессуального права, выразившихся в отказах в удовлетворении ходатайств об участии в судебном заседании представителя администрации путем использования систем видео-конференц-связи, подлежат отклонению, так как суды, отказывая в удовлетворении этих ходатайств, приводили обоснованные доводы, в силу которых они не подлежали удовлетворению.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3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Красномакского сельского поселения Бахчисарайского района Республики Крым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