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23.09.2019, оставленным без изменения постановлением Девятого арбитражного апелляционного суда от 09.12.2019 и постановлением Арбитражного суда Московского округа от 01.06.2020,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мотивирован неисполнением компанией обязательств по оплате работ, выполненных обществом в рамках договора подряда от 24.04.2017 № 14-ПИР/17-04 в редакции дополнительного соглашения.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760 Гражданского кодекса Российской Федерации, суды первой и апелляционной инстанций пришли к выводу об отсутствии оснований для удовлетворения иска. В частности, суды исходили из того, что у ответчика не возникла обязанность по оплате спорных работ, поскольку истцом не достигнут результат, пригодный к использованию; работы не имеют для ответчика потребительской ценности; доказательств того, что ответчик воспользовался спорными работами и они могут быть использованы вне полного комплекта проектной документации, не представлено. С указанными выводами впоследствии согласился суд округа. Доводы кассационной жалобы не свидетельствуют о существенном нарушении судами норм материального и процессуального права, повлиявших на исход дела, по существу направлены на переоценку установленных фактических обстоятельств дела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«ЭКОСТАНДАРТ «Технические решения»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"ЭКОСТАНДАРТ "Технические решения" (подробнее) Ответчики: ООО "ГлобалПроект"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