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13.08.2019, оставленным без изменения постановлением Девятого арбитражного апелляционного суда от 20.11.2019 и постановлением Арбитражного суда Московского округа от 04.06.2020, исковые требования удовлетворены. В кассационной жалобе, поданной в Верховный Суд Российской Федерации, общество, ссылаясь на нарушение судами норм права, просит отменить их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экспертное заключение, руководствуясь положениями статей 15 , 393 , 720 , 722 , 723 Гражданского кодекса Российской Федерации, разъяснениями, приведенными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инстанций, с которыми впоследствии согласился суд округа, пришли к выводу о наличии оснований для удовлетворения исковых требований, исходя из доказанности совокупности условий, необходимых для взыскания с ответчика убытков. Изложенные в кассационной жалобе доводы были предметом рассмотрения судов и получили правовую оценку, не опровергают выводы судов, направлены на переоценку обстоятельств, установленных судами,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«Бенефит»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"ВЕРМЕНТИНО" (подробнее) Ответчики: ООО "БЕНЕФИТ"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