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31.10.2019, оставленным без изменения постановлением Двенадцатого арбитражного апелляционного суда от 29.01.2020 и постановлением Арбитражного суда Поволжского округа от 15.06.2020,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принятым по результатам выездной налоговой проверки за период с 01.01.2015 по 31.12.2017, общество привлечено к ответственности за совершение налогового правонарушения, предусмотренного пунктом 1 статьи 122 , пунктом 1 статьи 123 , пунктом 1 статьи 126 Налогового кодекса Российской Федерации (далее – Налоговый кодекс), в виде штрафа в сумме 1 233 839 рублей. Также налогоплательщику доначислены и предложены к уплате налог добавленную стоимость (далее – НДС) и налог на доходы физических лиц (далее – НДФЛ) в общей сумме 22 353 202 рубля и 6 470 202 рубля пеней. Признавая решение налогового органа законным, суды, оценив представленные в материалы дела доказательства, руководствуясь положениями статей 146 , 168 ,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инспекцией совокупности обстоятельств, свидетельствующих о направленности действий общества на получение необоснованной налоговой выгоды путем учета операций не в соответствии с их действительным экономическим смыслом и неправомерного применения налоговых вычетов на основании документов, выставленных от имени обществ с ограниченной ответственностью «Строй Комплекс», «Волгоградспецводмонтаж», «ПСК Обьрегионстрой» и «Универсалстройторг» по договорам субподряда. Судебные инстанции установили, что ремонтные работы по заключенным с заказчиками договорам подряда осуществлялись силами самого общества и привлечение к данным отношениям субподрядчиков носило формальный характер. При этом на момент проведения спорных работ указанные в первичных документах контрагенты не обладали возможностью выполнения своих обязательств, представленные документы содержат недостоверные сведения и реальность хозяйственных операций по заключенным с обществом договорам не подтверждают. Доводы, изложенные в кассационной жалобе, в том числе о проявлении должной осмотрительности в выборе контрагентов и наличии оснований для снижения штрафных санкций, являлись предметом рассмотрения судов, не опровергают их выводы, сделанные с учетом установленных фактических обстоятельств настоящего спора, и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оценкой представленных в материалы дела доказательств и выводами судов по фактическим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«Волгоградспецмонтаж»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"Волгоградспецводмонтаж" (подробнее) ООО "Волгоградспецмонтаж" (подробнее) Ответчики: Межрайонная инспекция Федеральной налоговой службы №8 по Волгоградской области (подробнее) Иные лица: УФНС России по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