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05.09.2019, оставленным без изменения постановлением Девятого арбитражного апелляционного суда от 09.12.2019, в удовлетворении заявленного требования отказано. Постановлением Арбитражного суда Московского округа от 05.06.2020 указанные судебные акты оставлены без изменения. В кассационной жалобе, поступившей в Верховный Суд Российской Федерации, общество просит отменить обжалуемые судебные акты, считая их принятыми с существенным нарушением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административный орган выявил факт нарушения обществом порядка представления акционеру информации, предусмотренной федеральными законами и принятыми в соответствии с ними иными нормативными актами. Частью 1 статьи 15.19 Кодекса Российской Федерации об административных правонарушениях установлена административная ответственность за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статьей 19.7.3 настоящего Кодекса, если эти действия (бездействие) не содержат уголовно наказуемого деяния. Оценив представленные доказательства, руководствуясь положениями Федерального закона от 26.12.1995 № 208-ФЗ «Об акционерных обществах», суды пришли к выводу о наличии в действиях общества состава правонарушения, ответственность за совершение которого предусмотрена частью 1 статьи 15.19 Кодекса Российской Федерации об административных правонарушениях, признав, что требование о представлении информации подписано правомочным лицом. Признавая вину общества в совершенном правонарушении, суды не усмотрели объективных препятствий для соблюдения обществом правил и норм, за нарушение которых предусмотрена административная ответственность. Процедура и срок давности привлечения к ответственности соблюдены. Несогласие общества с установленными судами фактическими обстоятельствами дела и с толкованием норм законодательства, подлежащего применению к рассматриваемым правоотношениям, в силу статьи 291.6 Арбитражного процессуального кодекса Российской Федерации сами по себе не свидетельствуют о наличии оснований для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"КОНСТРУКТОРСКОЕ БЮРО "КОРУНД-М"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