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16.08.2019 арбитражный управляющий привлечен к административной ответственности по части 3 статьи 14.13 Кодекса Российской Федерации об административных правонарушений, и ему назначено административное наказание в виде штрафа в размере 25 000 рублей. Постановлением Девятнадцатого арбитражного апелляционного суда от 24.12.2019 решение суда первой инстанции отменено, в удовлетворении заявления отказано. Постановлением Арбитражного суда Центрального округа от 09.06.2020 постановление суда апелляционной инстанции оставлено без изменения. Административный орган обратился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Отменяя решение суда первой инстанции и отказывая в удовлетворении заявления о привлечении к административной ответственности, суд апелляционной инстанции признал, что протокол об административном правонарушении составлен в отношении арбитражного управляющего в отсутствие доказательств надлежащего уведомления привлекаемого лица о месте и времени его составления. Суд округа согласился с выводами суда апелляционной инстанции исходя из разъяснений пункта 10, 24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При этом указал, что при рассмотрении дела в суде апелляционной инстанции, суд неоднократно предоставлял административному органу возможность представить пояснения по соблюдению процедуры привлечения арбитражного управляющего к административной ответственности, что своевременно сделано не было.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Управление Федеральной службы государственной регистрации, кадастра и картографии по Белгородской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