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 основании пункта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её размер, а также отсрочить (рассрочить) ее уплату в порядке, предусмотренном статьей 333.41 названного Кодекса. Поскольку в данном случае имеются объективные основания для удовлетворения ходатайства и все необходимые документы к ходатайству приложены, суд приходит к выводу о необходимости предоставления отсрочки уплаты государственной пошлины. Руководствуясь статьями 184, 185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закрытого акционерного общества «Эрлей» удовлетворить. Предоставить закрытому акционерному обществу «Эрлей» отсрочку уплаты государственной пошлины в размере 3 000 рублей до окончания производства по его кассационной жалобе.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