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Рябов Вячеслав Юрьевич обратился в суд с заявлением о привлечении Рюминой Л.А. и Металиченко О.А. к субсидиарной ответственности по обязательствам должника. Впоследствии в рамках данного обособленного спора Рябов В.Ю. обратился в суд с ходатайством о принятии обеспечительных мер, в котором просил наложить арест на денежные средства, в том числе на денежные средства, которые будут поступать на банковские счета должника, общества с ограниченной ответственностью «Проектно-строительная компания Грандвестстрой» (далее – общество), Рюминой Л.А. и Металиченко О.А. в размере 1 981 151 рублей 43 копеек, а также на имущество, принадлежащее должнику, обществу, Рюминой Л.А. и Металиченко О.А., в размере 1 981 151 рубля 43 копеек без ограничения права пользования. Определением Арбитражного суда Вологодской области от 07.11.2019, оставленным без изменения постановлениями Четырнадцатого арбитражного апелляционного суда от 28.01.2020 и Арбитражного суда Северо-Западного округа от 29.06.2020, ходатайство удовлетворено частично, наложен арест 2 на денежные средства, в том числе денежные средства, которые будут поступать на банковский счёт, и иное имущество без ограничения права пользования, принадлежащее Рюминой Л.А. в размере 1 981 151 рубля 43 копеек и Металиченко О.А. в размере 1 981 151 рубля 43 копеек, отказано в удовлетворении остальной части требований. В кассационной жалобе, поданной в Верховный Суд Российской Федерации, заявители просят отменить указанные судебные акты.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ходатайство в части,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90 и 92 Арбитражного процессуального кодекса Российской Федерации, исходил из того, что обеспечительные меры направлены на сохранение существующих правоотношений сторон, указав, что их непринятие способно негативно сказаться на возможности исполнения судебного акта по делу.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Металиченко Оксане Алексеевне и Рюминой Любови Алексеевне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