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об истребовании у ФИО3, ФИО4, ФИО1 и ФИО5 документации должника. Определением Арбитражного суда города Москвы от 14.11.2019, оставленным без изменения постановлением Девятого арбитражного апелляционного суда от 21.01.2020, в удовлетворении заявления отказано. Постановлением Арбитражного суда Московского округа от 01.06.2020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постановления апелляционного суда в части и округа полностью,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обособленный спор на новое рассмотрение, суд округа, руководствуясь пунктом 2 статьи 126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установил нарушение судами норм процессуального права и допущенное ими неправильное применение норм материального права, повлекшие за собой неполное выяснение имеющих существенное значение для правильного разрешения спора обстоятельств, в том числе, применительно к приводимым конкурсным управляющим доводам, не получившим надлежащей правовой оценки.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также просит отменить постановление Девятого арбитражного апелляционного суда от 21.01.2020 в части отказа в рассмотрении её ходатайства о прекращении производства по апелляционной жалобе конкурсного управляющего должником.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указанного акта апелляционного суда вступившим в силу постановлением суда округа от 01.06.2020. Кроме того, доводы заявителя в указанной части были предметом рассмотрения суда округа и получили надлежащую правовую оценку.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Московского округа от 01.06.2020 по делу № А40-190915/2018. Прекратить производство по кассационной жалобе ФИО1 в части обжалования постановления Девятого арбитражного апелляционного суда от 21.01.2020 по делу № А40-190915/2018. Судья Верховного Суда Российской Федерации Е.С. Корнелюк Суд: Верховный Суд РФ (подробнее) Истцы: АО "ИНВЕСТ МЕНЕДЖМЕНТ" (подробнее) ИФНС России №15 по г. Москве (подробнее) Ответчики: ООО "БРОНЬ МАСТЕР" (подробнее) Иные лица: Ассоциация ЦФОП АПК (подробнее) ГУ Химкинский отдел ЗАГС ЗАГС Московской области (подробнее) Деревяченко Александр (подробнее) ИФНС 46 ПО Г. МОСКВЕ (подробнее) Отделение УФМС России по г. Москве по району Хамовники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