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37 794 205 рублей 06 копеек. Определением Арбитражного суда Омской области от 13.02.2020, оставленным без изменения постановлениями Восьмого арбитражного апелляционного суда от 02.06.2020 и Арбитражного суда Западно-Сибирского округа от 22.07.2020,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807, 809, 810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взаимосвязанности должника и кредитора, осуществления ими совместной хозяйственной деятельности, корпоративном характере задолженности и отсутствии оснований для её включения в реестр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«Омгражданпроект»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