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19.11.2019, оставленным без изменения постановлением Второго арбитражного апелляционного суда от 14.02.2020, в удовлетворении требований отказано. Постановлением Арбитражного суда Волго-Вятского округа от 03.06.2020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Отказывая в удовлетворении требования, суды исходили из того, что подача жалобы по истечении установленного законом срока на обжалование при отсутствии ходатайства о его восстановлении является обстоятельством, препятствующим рассмотрению жалобы. Доводы жалобы были предметом исследования судов и получили исчерпывающую правовую оценку, не согласиться с которой оснований не имеется. При этом общество не было лишено возможности обжаловать постановление от 12.04.2019 № 04-02-2019 о привлечении общества к административной ответственности на основании части 2 статьи 14.1.3 Кодекса Российской Федерации об административных правонарушениях в суд с заявлением ходатайства о восстановлении пропущенного срока. Данной возможностью общество не воспользовалось, обстоятельства пропуска срока не отрицает, уважительности причин пропуска срока в жалобе не приводит. При установленных обстоятельствах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"УК "Жилсервис" (подробнее) ООО " Управляющая компания "Жилсервис" (подробнее) Ответчики: Государственная жилищная инспекция Костромской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