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общество обратилось в суд с заявлением о включении в реестр требований кредиторов должника требований в размере 135 885 рублей 83 копеек долга по договору подряда от 03.06.2015 № 574-15С, 180 194 рублей 04 копеек долга по договору подряда от 03.06.2015 № 578-15С и 529 088 рублей 89 копеек долга по договору подряда от 03.06.2016 № 483-16С. Определением Арбитражного суда Самарской области от 12.11.2019, оставленным без изменения постановлениями Одиннадцатого арбитражного апелляционного суда от 04.02.2020 и Арбитражного суда Поволжского округа от 26.05.2020, отказано в удовлетворении заявления. В кассационной жалобе, поданной в Верховный Суд Российской Федерации, заявитель просит отменить указанные судебные акты, направить обособленный спор на новое рассмотрение.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2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статей 71 и 100 Федерального закона от 26.10.2002 № 127-ФЗ «О несостоятельности (банкротстве)», пунктом 26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пришли к выводу об отсутствии оснований для удовлетворения заявления ввиду недоказанности наличия долга. Выводы судов соответствуют нормам права, оснований для переоценки этих выводов по доводам жалобы не имеется.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«Тевис»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