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08.05.2019, оставленным без изменения постановлением Семнадцатого арбитражного апелляционного суда от 22.07.2019, оспариваемое постановление признано незаконным и отменено в части назначенного наказания в виде административного штрафа в размере, превышающем 150 000 рублей. Постановлением Арбитражного суда Уральского округа от 21.11.2019 указанные судебные акты оставлены без изменения. Общество в кассационной жалобе просит названные судебные акты отменить, считая их принятыми с существенными нарушениями норм материального и процессуального права. При рассмотрении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об эксплуатации обществом комплекса гидротехнических сооружений в отсутствие договора обязательного страхования гражданской ответственности владельца опасного объекта. Статьей 9.19 Кодекса Российской Федерации об административных правонарушениях предусмотрена ответственность за эксплуатацию опасного объекта, за исключением ввода в эксплуатацию опасного объекта,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объекте. Оценив представленные доказательства, руководствуясь положениями Федерального закона от 27.07.2010 № 225-ФЗ «Об обязательном страховании гражданской ответственности владельца опасного объекта за причинение вреда в результате аварии на опасном объекте», суды пришли к выводу о наличии в действиях общества состава правонарушения, ответственность за совершение которого предусмотрена частью 1 статьи 9.19 Кодекса Российской Федерации об административных правонарушениях. При этом суды отклонили доводы о нахождении имущества в спорный период в собственности третьего лица либо отнесении к бесхозяйному имуществу, исходя из того, что договор продажи плотины признан недействительным ввиду мнимости; в спорный период комплекс использовался обществом, которое осуществляет водозабор из водохранилища, и как владелец обязано осуществить обязательное страхование своей гражданской ответственности. Доводы жалобы были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"ЛЫСЬВА-ТЕПЛОЭНЕРГО" (подробнее) Ответчики: Федеральная служба по экологическому, технологическому и атомному надзору (Ростехнадзор) (подробнее) Судьи дела: Першутов А.Г. (судья) (подробнее) Последние документы по делу: Определение от 23 сентября 2020 г. по делу № А50-10175/2019 Определение от 13 февраля 2020 г. по делу № А50-10175/2019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