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договора возмездного оказания услуг от 13.11.2017 и соглашений о частичном прекращении обязательств от 31.03.2018 № 1, 1- 1, 1-17 и от 01.07.2018 № 1-3, заключенных между должником и обществом, применении последствий недействительности сделок в виде возврата ответчиком суммы полученного вознаграждения. Определением Арбитражного суда города Москвы от 04.10.2019, оставленным без изменения постановлениями Девятого арбитражного апелляционного суда от 25.11.2019 и Арбитражного суда Московского округа от 26.05.2020, заявление удовлетворено, применены последствия недействительности в виде взыскания с общества в пользу должника суммы вознаграждения в размере 9 797 700 рублей.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170 Гражданского кодекса Российской Федерации, установив, что предмет оспариваемого договора аналогичен агентскому договору от той же даты, заключенному между должником и обществом, пришли к выводу об отсутствии экономической целесообразности в его заключении, отсутствия воли сторон на возникновение реальных правовых последствий, направленности соглашений о частичном прекращении обязательств на прикрытие вывода активов должника и наличия в действиях сторон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«Новый Страховой Стандарт»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