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04.09.2019 в удовлетворении первоначальных исковых требований отказано; встречный иск удовлетворен частично: с Мишкина С.Е. в пользу Франгуловой Ю.Ю. взыскано 241 874 руб. 55 коп. неустойки, начисленной за период с 21.06.2017 по 01.09.2017, в удовлетворении остальной части требований отказано; с Мишкина С.Е. в пользу Франгуловой Ю.Ю. 4756 руб. 18 коп. в возмещение расходов по уплате государственной пошлины, 69 224 руб. 14 коп. в возмещение расходов на проведение экспертизы. 2 Постановлением Семнадцатого арбитражного апелляционного суда от 10.12.2019 решение суда первой инстанции изменено в части распределения судебных расходов по оплате экспертизы, в остальной части решение суда оставлено без изменения. Постановлением Арбитражного суда Уральского округа от 28.05.2020 постановление суда апелляционной инстанции оставлено без изменения. В кассационных жалобах, поданных в Верховный Суд Российской Федерации, Мишкин С.Е. и Франгулова Ю.Ю., ссылаясь на нарушение судами норм материального и процессуального права, просят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Предъявленные взаимные требования Мишкина С.Е. (исполнителя) и Франгуловой Ю.Ю. (заказчика) основаны на договоре от 21.12.2016 № 21/1216 (далее – договор), по условиям которого исполнитель обязался выполнить работы по заданию заказчика, а последний – оплатить услуги и принять результат выполненных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руководствуясь статьями 309, 310, 330, 702, 708, 720, 721, 723 Гражданского кодекса Российской Федерации, суды первой и апелляционной инстанций пришли к выводу о наличии оснований для отказа в удовлетворении первоначальных исковых требований и частичного удовлетворения встречного иска, с чем впоследствии согласился суд округа. В частности, суды исходили из установленных обстоятельств, подтверждающих факт выполнения исполнителем работ с ненадлежащим качеством и с нарушением предусмотренного договором срока. Доводы заявителей, в том числе о несогласии с заключением судебной экспертизы, неправильном определении судами периода начисления неустойки, были предметом рассмотрения судов и получили соответствующую правовую оценку. Доводы кассационных жалоб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3 в кассационном порядке. По существу доводы жалоб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Мишкина Сергея Евгеньевича и индивидуального предпринимателя Франгуловой Юлии Юрьевны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