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07.07.2019 в удовлетворении исковых требований отказано. Пятнадцатый арбитражный апелляционный суд определением от 15.10.2019 перешел к рассмотрению дела по правилам суда первой инстанции, определением от 12.11.2019 привлек к участию в деле в качестве третьих лиц, не заявляющих самостоятельных требований относительно предмета спора, муниципальное бюджетное дошкольное образовательное учреждение муниципального образования город Краснодар «Детский сад комбинированного типа № 82», муниципальное бюджетное образовательное учреждение муниципального образования город Краснодар «Центр развития 2 ребенка – детский сад № 181», муниципальное бюджетное образовательное учреждение муниципального образования город Краснодар гимназия № 44. Постановлением Пятнадцатого арбитражного апелляционного суда от 21.01.2020 решение суда первой инстанции отменено, в удовлетворении исковых требований отказано. Постановлением Арбитражного суда Северо-Кавказского округа от 21.05.2020 постановление суда апелляционной инстанции оставлено без изменения. В кассационных жалобах, поданных в Верховный Суд Российской Федерации, общество и служба, ссылаясь на нарушение судами апелляционной инстанции и округа норм материального и процессуального права, просят отменить их постановления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702 Гражданского кодекса Российской Федерации, суд апелляционной инстанции, с которым согласился суд округа, пришел к выводу об отсутствии оснований для удовлетворения исковых требований, исходя из недоказанности истцом факта выполнения спорных работ, их объема и стоимости. Доводы кассационных жалоб - с учетом установленных фактических обстоятельств - выводы судов не опровергают,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общества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прав службы принятыми по настоящему делу судебными актами не установлено.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«ТСКом» и общества с ограниченной ответственностью «Служба пожарного мониторинга – 23»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