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29.10.2019, оставленным без изменения постановлениями Девятого арбитражного апелляционного суда от 29.01.2020 и Арбитражного суда Московского округа от 03.06.2020, исковые требования удовлетворены частично, с ответчика в пользу истца взысканы 1 774 929 рублей за декабрь 2018 года и неустойка в размере 52 730 рублей 18 копеек, 8 874 645 рублей за январь 2019 года, неустойка в размере 222 383 рублей 81 копейки за нарушение сроков оплаты за январь 2019 года, 17 749 290 рублей оплаты по фактическому объему оказанных услуг сверх предусмотренного договором срока. В удовлетворении остальной части исковых требований отказано. В кассационной жалобе, поданной в Верховный Суд Российской Федерации, предприятие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истцом (исполнитель) и ответчиком (заказчик) заключен гражданско-правовой договор от 09.03.2018 № 209255 на оказание услуг по предоставлению в аренду (субаренду) нежилых помещений сроком с 12.03.2018 по 31.01.2019. Основанием для обращения в суд с настоящим иском послужила неоплата со стороны предприятия арендной платы за декабрь 2018 года и январь 2019 года, а также использование ответчиком помещения до конца марта 2019 года. Оценив представленные в материалы дела доказательства, суды, руководствуясь положениями статей 309 , 310 , 330 , 333 , 622 Гражданского кодекса Российской Федерации, пункта 5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установив факт невыполнения ответчиком обязательств, предусмотренных договором в части оплаты, а также отсутствие доказательств, подтверждающих наличие оснований для удержания штрафа, учитывая, что исполнитель (истец) оказывал услуги надлежащим образом, пришли к выводу о наличии оснований для удовлетворения требований о взыскании задолженности и возложения на предприятие гражданско-правовой ответственности в виде выплаты неустойки, снизив ее размер в порядке статьи 333 Гражданского кодекса Российской Федерации. При этом, отказывая в удовлетворении требования о взыскании компенсации в порядке регресса, суды пришли к выводу об отсутствии причинно-следственной связи между неисполнением ответчиком обязательств по спорному договору и наступлением последствий в виде доначисления пени по договору аренды, заключенному между обществом и обществом с ограниченной ответственностью «Рябиновая». Доводы кассационной жалобы являлись предметом рассмотрения судов и получили надлежащую правовую оценку, направлены на переоценку установленных обстоятельств дела,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«Мосгортранс»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"Восторг" (подробнее) ООО "Строй-Тресть" (подробнее) Ответчики: ГУП города Москвы "Мосгортранс" (подробнее) Судьи дела: Антонова М.К.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